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3B" w:rsidRDefault="00DB533B" w:rsidP="009116BD">
      <w:pPr>
        <w:rPr>
          <w:rFonts w:ascii="Calibri" w:hAnsi="Calibri"/>
          <w:b/>
          <w:color w:val="000080"/>
          <w:szCs w:val="28"/>
          <w:lang w:val="en-GB"/>
        </w:rPr>
      </w:pPr>
    </w:p>
    <w:p w:rsidR="009116BD" w:rsidRDefault="00212FCD" w:rsidP="009116BD">
      <w:pPr>
        <w:rPr>
          <w:rFonts w:ascii="Calibri" w:hAnsi="Calibri"/>
          <w:color w:val="000080"/>
          <w:szCs w:val="28"/>
          <w:lang w:val="en-GB"/>
        </w:rPr>
      </w:pPr>
      <w:bookmarkStart w:id="0" w:name="_GoBack"/>
      <w:bookmarkEnd w:id="0"/>
      <w:r w:rsidRPr="003724F6">
        <w:rPr>
          <w:rFonts w:ascii="Calibri" w:hAnsi="Calibri"/>
          <w:b/>
          <w:color w:val="000080"/>
          <w:szCs w:val="28"/>
          <w:lang w:val="en-GB"/>
        </w:rPr>
        <w:t>ARC Consulting</w:t>
      </w:r>
      <w:r w:rsidRPr="003724F6">
        <w:rPr>
          <w:rFonts w:ascii="Calibri" w:hAnsi="Calibri"/>
          <w:color w:val="000080"/>
          <w:szCs w:val="28"/>
          <w:lang w:val="en-GB"/>
        </w:rPr>
        <w:t xml:space="preserve"> </w:t>
      </w:r>
      <w:r w:rsidRPr="003724F6">
        <w:rPr>
          <w:rFonts w:ascii="Calibri" w:hAnsi="Calibri"/>
          <w:b/>
          <w:color w:val="000080"/>
          <w:szCs w:val="28"/>
          <w:lang w:val="en-GB"/>
        </w:rPr>
        <w:t>EOOD</w:t>
      </w:r>
      <w:r w:rsidRPr="003724F6">
        <w:rPr>
          <w:rFonts w:ascii="Calibri" w:hAnsi="Calibri"/>
          <w:color w:val="000080"/>
          <w:szCs w:val="28"/>
          <w:lang w:val="en-GB"/>
        </w:rPr>
        <w:t xml:space="preserve"> </w:t>
      </w:r>
    </w:p>
    <w:p w:rsidR="00A8511C" w:rsidRPr="003724F6" w:rsidRDefault="00212FCD" w:rsidP="00DB533B">
      <w:pPr>
        <w:jc w:val="both"/>
        <w:rPr>
          <w:rFonts w:ascii="Calibri" w:hAnsi="Calibri"/>
          <w:color w:val="000080"/>
          <w:szCs w:val="28"/>
          <w:lang w:val="en-GB"/>
        </w:rPr>
      </w:pPr>
      <w:r w:rsidRPr="003724F6">
        <w:rPr>
          <w:rFonts w:ascii="Calibri" w:hAnsi="Calibri"/>
          <w:lang w:val="en-GB"/>
        </w:rPr>
        <w:t>ARC Consulting EOOD is the wholly owned consulting arm of ARC Fund</w:t>
      </w:r>
      <w:r w:rsidR="000F54F6" w:rsidRPr="003724F6">
        <w:rPr>
          <w:rFonts w:ascii="Calibri" w:hAnsi="Calibri"/>
          <w:lang w:val="en-GB"/>
        </w:rPr>
        <w:t xml:space="preserve">, Bulgaria, </w:t>
      </w:r>
      <w:proofErr w:type="gramStart"/>
      <w:r w:rsidR="000F54F6" w:rsidRPr="003724F6">
        <w:rPr>
          <w:rFonts w:ascii="Calibri" w:hAnsi="Calibri"/>
          <w:lang w:val="en-GB"/>
        </w:rPr>
        <w:t>a</w:t>
      </w:r>
      <w:proofErr w:type="gramEnd"/>
      <w:r w:rsidR="000F54F6" w:rsidRPr="003724F6">
        <w:rPr>
          <w:rFonts w:ascii="Calibri" w:hAnsi="Calibri"/>
          <w:lang w:val="en-GB"/>
        </w:rPr>
        <w:t xml:space="preserve"> leading research think-tank in the area of information society, innovation and technology transfer</w:t>
      </w:r>
      <w:r w:rsidRPr="003724F6">
        <w:rPr>
          <w:rFonts w:ascii="Calibri" w:hAnsi="Calibri"/>
          <w:lang w:val="en-GB"/>
        </w:rPr>
        <w:t xml:space="preserve">. The company was set up in 2006 with the goal of further developing the experience of ARC Fund into consulting capabilities and commercialization of the knowledge pool of the organization. </w:t>
      </w:r>
      <w:r w:rsidR="00A8511C" w:rsidRPr="003724F6">
        <w:rPr>
          <w:rFonts w:ascii="Calibri" w:hAnsi="Calibri"/>
          <w:lang w:val="en-GB"/>
        </w:rPr>
        <w:t>In the past years ARC Consulting has performed contract work for various stakeholders:</w:t>
      </w:r>
    </w:p>
    <w:p w:rsidR="00A8511C" w:rsidRPr="003724F6" w:rsidRDefault="00A8511C" w:rsidP="00A851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lang w:val="en-GB"/>
        </w:rPr>
      </w:pPr>
      <w:r w:rsidRPr="003724F6">
        <w:rPr>
          <w:rFonts w:ascii="Calibri" w:hAnsi="Calibri"/>
          <w:lang w:val="en-GB"/>
        </w:rPr>
        <w:t>the Bulgarian government in developing the country’s annual report assessing the progress of the national innovation policy</w:t>
      </w:r>
      <w:r w:rsidR="000F54F6" w:rsidRPr="003724F6">
        <w:rPr>
          <w:rFonts w:ascii="Calibri" w:hAnsi="Calibri"/>
          <w:lang w:val="en-GB"/>
        </w:rPr>
        <w:t xml:space="preserve"> and the Bulgarian Ministry of Transport, Information Technologies and communications in elaborating and implementing the national broadband plan in the country</w:t>
      </w:r>
      <w:r w:rsidRPr="003724F6">
        <w:rPr>
          <w:rFonts w:ascii="Calibri" w:hAnsi="Calibri"/>
          <w:lang w:val="en-GB"/>
        </w:rPr>
        <w:t>;</w:t>
      </w:r>
    </w:p>
    <w:p w:rsidR="00A8511C" w:rsidRPr="003724F6" w:rsidRDefault="00A8511C" w:rsidP="00A851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lang w:val="en-GB"/>
        </w:rPr>
      </w:pPr>
      <w:r w:rsidRPr="003724F6">
        <w:rPr>
          <w:rFonts w:ascii="Calibri" w:hAnsi="Calibri"/>
          <w:lang w:val="en-GB"/>
        </w:rPr>
        <w:t xml:space="preserve">DG </w:t>
      </w:r>
      <w:r w:rsidR="000F54F6" w:rsidRPr="003724F6">
        <w:rPr>
          <w:rFonts w:ascii="Calibri" w:hAnsi="Calibri"/>
          <w:lang w:val="en-GB"/>
        </w:rPr>
        <w:t xml:space="preserve">Research and Innovation and DG </w:t>
      </w:r>
      <w:r w:rsidRPr="003724F6">
        <w:rPr>
          <w:rFonts w:ascii="Calibri" w:hAnsi="Calibri"/>
          <w:lang w:val="en-GB"/>
        </w:rPr>
        <w:t xml:space="preserve">JRC on ICT </w:t>
      </w:r>
      <w:r w:rsidR="000F54F6" w:rsidRPr="003724F6">
        <w:rPr>
          <w:rFonts w:ascii="Calibri" w:hAnsi="Calibri"/>
          <w:lang w:val="en-GB"/>
        </w:rPr>
        <w:t>sector and national innovation policy</w:t>
      </w:r>
      <w:r w:rsidR="004F4D62" w:rsidRPr="003724F6">
        <w:rPr>
          <w:rFonts w:ascii="Calibri" w:hAnsi="Calibri"/>
          <w:lang w:val="en-GB"/>
        </w:rPr>
        <w:t xml:space="preserve"> developments</w:t>
      </w:r>
      <w:r w:rsidR="000F54F6" w:rsidRPr="003724F6">
        <w:rPr>
          <w:rFonts w:ascii="Calibri" w:hAnsi="Calibri"/>
          <w:lang w:val="en-GB"/>
        </w:rPr>
        <w:t xml:space="preserve">, </w:t>
      </w:r>
      <w:r w:rsidRPr="003724F6">
        <w:rPr>
          <w:rFonts w:ascii="Calibri" w:hAnsi="Calibri"/>
          <w:lang w:val="en-GB"/>
        </w:rPr>
        <w:t>the contribution of European regions to the realisation of ERA</w:t>
      </w:r>
      <w:r w:rsidR="004F4D62" w:rsidRPr="003724F6">
        <w:rPr>
          <w:rFonts w:ascii="Calibri" w:hAnsi="Calibri"/>
          <w:lang w:val="en-GB"/>
        </w:rPr>
        <w:t>, the elaboration of the Bulgarian smart specialization strategy, etc.</w:t>
      </w:r>
      <w:r w:rsidRPr="003724F6">
        <w:rPr>
          <w:rFonts w:ascii="Calibri" w:hAnsi="Calibri"/>
          <w:lang w:val="en-GB"/>
        </w:rPr>
        <w:t>;</w:t>
      </w:r>
    </w:p>
    <w:p w:rsidR="004F4D62" w:rsidRPr="003724F6" w:rsidRDefault="00A8511C" w:rsidP="00A851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lang w:val="en-GB"/>
        </w:rPr>
      </w:pPr>
      <w:r w:rsidRPr="003724F6">
        <w:rPr>
          <w:rFonts w:ascii="Calibri" w:hAnsi="Calibri"/>
          <w:lang w:val="en-GB"/>
        </w:rPr>
        <w:t xml:space="preserve">The World Bank on </w:t>
      </w:r>
      <w:r w:rsidR="004F4D62" w:rsidRPr="003724F6">
        <w:rPr>
          <w:rFonts w:ascii="Calibri" w:hAnsi="Calibri"/>
          <w:lang w:val="en-GB"/>
        </w:rPr>
        <w:t xml:space="preserve">its work for </w:t>
      </w:r>
      <w:r w:rsidRPr="003724F6">
        <w:rPr>
          <w:rFonts w:ascii="Calibri" w:hAnsi="Calibri"/>
          <w:lang w:val="en-GB"/>
        </w:rPr>
        <w:t>enhancing Bulgaria’s competitiveness</w:t>
      </w:r>
      <w:r w:rsidR="004F4D62" w:rsidRPr="003724F6">
        <w:rPr>
          <w:rFonts w:ascii="Calibri" w:hAnsi="Calibri"/>
          <w:lang w:val="en-GB"/>
        </w:rPr>
        <w:t xml:space="preserve"> through innovation and on stimulating business incubation and internationalization of companies in the ECA region;</w:t>
      </w:r>
    </w:p>
    <w:p w:rsidR="00212FCD" w:rsidRPr="003724F6" w:rsidRDefault="004F4D62" w:rsidP="00A851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lang w:val="en-GB"/>
        </w:rPr>
      </w:pPr>
      <w:r w:rsidRPr="003724F6">
        <w:rPr>
          <w:rFonts w:ascii="Calibri" w:hAnsi="Calibri"/>
          <w:lang w:val="en-GB"/>
        </w:rPr>
        <w:t xml:space="preserve">International companies and foreign ministries on innovation performance of the respective economic sectors and on implementing innovation support national strategies and programmes; </w:t>
      </w:r>
    </w:p>
    <w:p w:rsidR="00A8511C" w:rsidRPr="003724F6" w:rsidRDefault="00A8511C" w:rsidP="00A8511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lang w:val="en-GB"/>
        </w:rPr>
      </w:pPr>
    </w:p>
    <w:p w:rsidR="009116BD" w:rsidRPr="003724F6" w:rsidRDefault="00CC3FAE" w:rsidP="009116BD">
      <w:pPr>
        <w:jc w:val="both"/>
        <w:rPr>
          <w:lang w:val="en-GB"/>
        </w:rPr>
      </w:pPr>
      <w:r w:rsidRPr="003724F6">
        <w:rPr>
          <w:lang w:val="en-GB"/>
        </w:rPr>
        <w:t xml:space="preserve">ARC Fund has a solid track-record of successful international projects supported by the European Commission (FP4, FP5, FP6, </w:t>
      </w:r>
      <w:r w:rsidR="003724F6">
        <w:rPr>
          <w:lang w:val="en-GB"/>
        </w:rPr>
        <w:t xml:space="preserve">FP7, </w:t>
      </w:r>
      <w:r w:rsidRPr="003724F6">
        <w:rPr>
          <w:lang w:val="en-GB"/>
        </w:rPr>
        <w:t xml:space="preserve">Leonardo da Vinci, </w:t>
      </w:r>
      <w:proofErr w:type="gramStart"/>
      <w:r w:rsidRPr="003724F6">
        <w:rPr>
          <w:lang w:val="en-GB"/>
        </w:rPr>
        <w:t>PHARE</w:t>
      </w:r>
      <w:proofErr w:type="gramEnd"/>
      <w:r w:rsidRPr="003724F6">
        <w:rPr>
          <w:lang w:val="en-GB"/>
        </w:rPr>
        <w:t>), the World Bank, UNDP, USAID, and German Agency for Technical Cooperation (GTZ)</w:t>
      </w:r>
      <w:r w:rsidR="003724F6">
        <w:rPr>
          <w:lang w:val="en-GB"/>
        </w:rPr>
        <w:t>, etc</w:t>
      </w:r>
      <w:r w:rsidRPr="003724F6">
        <w:rPr>
          <w:lang w:val="en-GB"/>
        </w:rPr>
        <w:t xml:space="preserve">. ARC Fund was twice awarded Best National Performer - in FP5 and FP6 by the Ministry of Education and Science, the national coordinator for the EU Research Framework Programmes. </w:t>
      </w:r>
      <w:r w:rsidR="009116BD" w:rsidRPr="003724F6">
        <w:rPr>
          <w:lang w:val="en-GB"/>
        </w:rPr>
        <w:t>T</w:t>
      </w:r>
      <w:r w:rsidR="00A8511C" w:rsidRPr="003724F6">
        <w:rPr>
          <w:lang w:val="en-GB"/>
        </w:rPr>
        <w:t xml:space="preserve">he evaluation of the Bulgarian participation in the FP7 </w:t>
      </w:r>
      <w:r w:rsidR="009116BD" w:rsidRPr="003724F6">
        <w:rPr>
          <w:lang w:val="en-GB"/>
        </w:rPr>
        <w:t xml:space="preserve">on the basis of most recent data from the Ministry of Education, Youth and Science reveals that ARC Fund is </w:t>
      </w:r>
      <w:r w:rsidR="003724F6">
        <w:rPr>
          <w:lang w:val="en-GB"/>
        </w:rPr>
        <w:t>among the Top 5 Bulgarian b</w:t>
      </w:r>
      <w:r w:rsidR="009116BD" w:rsidRPr="003724F6">
        <w:rPr>
          <w:lang w:val="en-GB"/>
        </w:rPr>
        <w:t xml:space="preserve">est </w:t>
      </w:r>
      <w:r w:rsidR="003724F6">
        <w:rPr>
          <w:lang w:val="en-GB"/>
        </w:rPr>
        <w:t xml:space="preserve">FP7 </w:t>
      </w:r>
      <w:r w:rsidR="009116BD" w:rsidRPr="003724F6">
        <w:rPr>
          <w:lang w:val="en-GB"/>
        </w:rPr>
        <w:t>performer</w:t>
      </w:r>
      <w:r w:rsidR="003724F6">
        <w:rPr>
          <w:lang w:val="en-GB"/>
        </w:rPr>
        <w:t>s</w:t>
      </w:r>
      <w:r w:rsidR="009116BD" w:rsidRPr="003724F6">
        <w:rPr>
          <w:lang w:val="en-GB"/>
        </w:rPr>
        <w:t xml:space="preserve"> for the period 2007-2012 with respect to </w:t>
      </w:r>
      <w:r w:rsidR="003724F6">
        <w:rPr>
          <w:lang w:val="en-GB"/>
        </w:rPr>
        <w:t xml:space="preserve">both number of projects and </w:t>
      </w:r>
      <w:r w:rsidR="009116BD" w:rsidRPr="003724F6">
        <w:rPr>
          <w:lang w:val="en-GB"/>
        </w:rPr>
        <w:t xml:space="preserve">total </w:t>
      </w:r>
      <w:r w:rsidR="003724F6">
        <w:rPr>
          <w:lang w:val="en-GB"/>
        </w:rPr>
        <w:t xml:space="preserve">EU </w:t>
      </w:r>
      <w:r w:rsidR="009116BD" w:rsidRPr="003724F6">
        <w:rPr>
          <w:lang w:val="en-GB"/>
        </w:rPr>
        <w:t xml:space="preserve">funding received per capita. </w:t>
      </w:r>
    </w:p>
    <w:p w:rsidR="00A8511C" w:rsidRPr="003724F6" w:rsidRDefault="009116BD" w:rsidP="009116BD">
      <w:pPr>
        <w:jc w:val="both"/>
        <w:rPr>
          <w:lang w:val="en-GB"/>
        </w:rPr>
      </w:pPr>
      <w:r w:rsidRPr="003724F6">
        <w:rPr>
          <w:lang w:val="en-GB"/>
        </w:rPr>
        <w:t xml:space="preserve">ARC Fund has pioneered and successfully implemented </w:t>
      </w:r>
      <w:r w:rsidR="003724F6">
        <w:rPr>
          <w:lang w:val="en-GB"/>
        </w:rPr>
        <w:t xml:space="preserve">several innovative methodologies for assessing and monitoring ICT sector and policy developments in the country. </w:t>
      </w:r>
      <w:r w:rsidR="00CC3FAE" w:rsidRPr="003724F6">
        <w:rPr>
          <w:lang w:val="en-GB"/>
        </w:rPr>
        <w:t xml:space="preserve">As early as 2001, ARC Fund has led the Bulgaria Development Gateway civil society initiative consolidating the national dialogue on ICT for development and promoting a common vision among the relevant stakeholders in government, business, civil society, academic and research communities, and international donor organizations. </w:t>
      </w:r>
      <w:r w:rsidRPr="003724F6">
        <w:rPr>
          <w:lang w:val="en-GB"/>
        </w:rPr>
        <w:t xml:space="preserve">In cooperation with highest state authorities in the IT, incl. the Ministry of IT and the Coordination </w:t>
      </w:r>
      <w:proofErr w:type="spellStart"/>
      <w:r w:rsidRPr="003724F6">
        <w:rPr>
          <w:lang w:val="en-GB"/>
        </w:rPr>
        <w:t>Center</w:t>
      </w:r>
      <w:proofErr w:type="spellEnd"/>
      <w:r w:rsidRPr="003724F6">
        <w:rPr>
          <w:lang w:val="en-GB"/>
        </w:rPr>
        <w:t xml:space="preserve"> for ICT at the Council of Ministers, </w:t>
      </w:r>
      <w:r w:rsidR="003724F6">
        <w:rPr>
          <w:lang w:val="en-GB"/>
        </w:rPr>
        <w:t xml:space="preserve">in 2003, </w:t>
      </w:r>
      <w:r w:rsidRPr="003724F6">
        <w:rPr>
          <w:lang w:val="en-GB"/>
        </w:rPr>
        <w:t xml:space="preserve">ARC Fund has conducted the first pilot </w:t>
      </w:r>
      <w:r w:rsidR="003724F6">
        <w:rPr>
          <w:lang w:val="en-GB"/>
        </w:rPr>
        <w:t xml:space="preserve">national </w:t>
      </w:r>
      <w:r w:rsidRPr="003724F6">
        <w:rPr>
          <w:lang w:val="en-GB"/>
        </w:rPr>
        <w:t xml:space="preserve">e-readiness assessment under </w:t>
      </w:r>
      <w:r w:rsidR="003724F6">
        <w:rPr>
          <w:lang w:val="en-GB"/>
        </w:rPr>
        <w:t>the</w:t>
      </w:r>
      <w:r w:rsidRPr="003724F6">
        <w:rPr>
          <w:lang w:val="en-GB"/>
        </w:rPr>
        <w:t xml:space="preserve"> </w:t>
      </w:r>
      <w:proofErr w:type="spellStart"/>
      <w:r w:rsidR="003724F6" w:rsidRPr="003724F6">
        <w:rPr>
          <w:bCs/>
          <w:i/>
          <w:iCs/>
          <w:lang w:val="en-GB"/>
        </w:rPr>
        <w:t>info</w:t>
      </w:r>
      <w:r w:rsidR="003724F6" w:rsidRPr="003724F6">
        <w:rPr>
          <w:bCs/>
          <w:lang w:val="en-GB"/>
        </w:rPr>
        <w:t>Dev</w:t>
      </w:r>
      <w:proofErr w:type="spellEnd"/>
      <w:r w:rsidR="003724F6">
        <w:rPr>
          <w:bCs/>
          <w:lang w:val="en-GB"/>
        </w:rPr>
        <w:t xml:space="preserve"> Programme of the World Bank</w:t>
      </w:r>
      <w:r w:rsidRPr="003724F6">
        <w:rPr>
          <w:lang w:val="en-GB"/>
        </w:rPr>
        <w:t xml:space="preserve">, followed by </w:t>
      </w:r>
      <w:r w:rsidRPr="003724F6">
        <w:rPr>
          <w:i/>
          <w:lang w:val="en-GB"/>
        </w:rPr>
        <w:t>e-Bulgaria</w:t>
      </w:r>
      <w:r w:rsidR="00CC3FAE" w:rsidRPr="003724F6">
        <w:rPr>
          <w:lang w:val="en-GB"/>
        </w:rPr>
        <w:t xml:space="preserve"> reports in</w:t>
      </w:r>
      <w:r w:rsidRPr="003724F6">
        <w:rPr>
          <w:lang w:val="en-GB"/>
        </w:rPr>
        <w:t xml:space="preserve"> 2004, 2005 &amp; 2006. </w:t>
      </w:r>
      <w:r w:rsidR="003724F6">
        <w:rPr>
          <w:lang w:val="en-GB"/>
        </w:rPr>
        <w:t xml:space="preserve">As a follow-up, the </w:t>
      </w:r>
      <w:r w:rsidRPr="003724F6">
        <w:rPr>
          <w:i/>
          <w:lang w:val="en-GB"/>
        </w:rPr>
        <w:t>e-Municipality</w:t>
      </w:r>
      <w:r w:rsidRPr="003724F6">
        <w:rPr>
          <w:lang w:val="en-GB"/>
        </w:rPr>
        <w:t xml:space="preserve"> </w:t>
      </w:r>
      <w:r w:rsidR="003724F6">
        <w:rPr>
          <w:lang w:val="en-GB"/>
        </w:rPr>
        <w:t xml:space="preserve">assessment </w:t>
      </w:r>
      <w:r w:rsidRPr="003724F6">
        <w:rPr>
          <w:lang w:val="en-GB"/>
        </w:rPr>
        <w:t xml:space="preserve">was implemented for three consecutive years </w:t>
      </w:r>
      <w:proofErr w:type="gramStart"/>
      <w:r w:rsidRPr="003724F6">
        <w:rPr>
          <w:lang w:val="en-GB"/>
        </w:rPr>
        <w:t>between 2004-2006 with the support of the UNDP</w:t>
      </w:r>
      <w:proofErr w:type="gramEnd"/>
      <w:r w:rsidRPr="003724F6">
        <w:rPr>
          <w:lang w:val="en-GB"/>
        </w:rPr>
        <w:t xml:space="preserve">. </w:t>
      </w:r>
      <w:r w:rsidR="003724F6">
        <w:rPr>
          <w:lang w:val="en-GB"/>
        </w:rPr>
        <w:t>In 2002-2004, f</w:t>
      </w:r>
      <w:r w:rsidRPr="003724F6">
        <w:rPr>
          <w:lang w:val="en-GB"/>
        </w:rPr>
        <w:t xml:space="preserve">or the first time in Bulgaria, </w:t>
      </w:r>
      <w:r w:rsidR="003724F6">
        <w:rPr>
          <w:lang w:val="en-GB"/>
        </w:rPr>
        <w:t xml:space="preserve">ARC Fund </w:t>
      </w:r>
      <w:r w:rsidRPr="003724F6">
        <w:rPr>
          <w:lang w:val="en-GB"/>
        </w:rPr>
        <w:t xml:space="preserve">introduced </w:t>
      </w:r>
      <w:r w:rsidR="00CC3FAE" w:rsidRPr="003724F6">
        <w:rPr>
          <w:lang w:val="en-GB"/>
        </w:rPr>
        <w:t xml:space="preserve">foresight methods within the </w:t>
      </w:r>
      <w:r w:rsidR="003724F6">
        <w:rPr>
          <w:lang w:val="en-GB"/>
        </w:rPr>
        <w:t>e-g</w:t>
      </w:r>
      <w:r w:rsidR="00CC3FAE" w:rsidRPr="003724F6">
        <w:rPr>
          <w:lang w:val="en-GB"/>
        </w:rPr>
        <w:t xml:space="preserve">overnment </w:t>
      </w:r>
      <w:r w:rsidR="003724F6">
        <w:rPr>
          <w:lang w:val="en-GB"/>
        </w:rPr>
        <w:t xml:space="preserve">planning. </w:t>
      </w:r>
      <w:r w:rsidR="00CC3FAE" w:rsidRPr="003724F6">
        <w:rPr>
          <w:lang w:val="en-GB"/>
        </w:rPr>
        <w:t xml:space="preserve">  </w:t>
      </w:r>
    </w:p>
    <w:p w:rsidR="009116BD" w:rsidRPr="003724F6" w:rsidRDefault="00CC3FAE" w:rsidP="00516A2D">
      <w:pPr>
        <w:jc w:val="both"/>
        <w:rPr>
          <w:lang w:val="en-GB"/>
        </w:rPr>
      </w:pPr>
      <w:r w:rsidRPr="003724F6">
        <w:rPr>
          <w:lang w:val="en-GB"/>
        </w:rPr>
        <w:lastRenderedPageBreak/>
        <w:t xml:space="preserve">More recent experience </w:t>
      </w:r>
      <w:r w:rsidR="00516A2D" w:rsidRPr="003724F6">
        <w:rPr>
          <w:lang w:val="en-GB"/>
        </w:rPr>
        <w:t xml:space="preserve">includes the </w:t>
      </w:r>
      <w:r w:rsidR="003724F6">
        <w:rPr>
          <w:lang w:val="en-GB"/>
        </w:rPr>
        <w:t xml:space="preserve">5-year </w:t>
      </w:r>
      <w:r w:rsidR="00516A2D" w:rsidRPr="003724F6">
        <w:rPr>
          <w:lang w:val="en-GB"/>
        </w:rPr>
        <w:t xml:space="preserve">coordination of the </w:t>
      </w:r>
      <w:proofErr w:type="spellStart"/>
      <w:r w:rsidR="00516A2D" w:rsidRPr="003724F6">
        <w:rPr>
          <w:bCs/>
          <w:lang w:val="en-GB"/>
        </w:rPr>
        <w:t>ECAbit</w:t>
      </w:r>
      <w:proofErr w:type="spellEnd"/>
      <w:r w:rsidR="00516A2D" w:rsidRPr="003724F6">
        <w:rPr>
          <w:lang w:val="en-GB"/>
        </w:rPr>
        <w:t xml:space="preserve"> network</w:t>
      </w:r>
      <w:r w:rsidR="003724F6">
        <w:rPr>
          <w:lang w:val="en-GB"/>
        </w:rPr>
        <w:t xml:space="preserve">, one of the </w:t>
      </w:r>
      <w:r w:rsidR="00170727">
        <w:rPr>
          <w:lang w:val="en-GB"/>
        </w:rPr>
        <w:t xml:space="preserve">sixth regional </w:t>
      </w:r>
      <w:r w:rsidR="009116BD" w:rsidRPr="003724F6">
        <w:rPr>
          <w:lang w:val="en-GB"/>
        </w:rPr>
        <w:t>network</w:t>
      </w:r>
      <w:r w:rsidR="00170727">
        <w:rPr>
          <w:lang w:val="en-GB"/>
        </w:rPr>
        <w:t>s</w:t>
      </w:r>
      <w:r w:rsidR="009116BD" w:rsidRPr="003724F6">
        <w:rPr>
          <w:lang w:val="en-GB"/>
        </w:rPr>
        <w:t xml:space="preserve"> of business incubators and technology parks, facilitated and supported by </w:t>
      </w:r>
      <w:r w:rsidR="00170727">
        <w:rPr>
          <w:lang w:val="en-GB"/>
        </w:rPr>
        <w:t xml:space="preserve">the </w:t>
      </w:r>
      <w:proofErr w:type="spellStart"/>
      <w:r w:rsidR="009116BD" w:rsidRPr="00170727">
        <w:rPr>
          <w:bCs/>
          <w:i/>
          <w:lang w:val="en-GB"/>
        </w:rPr>
        <w:t>info</w:t>
      </w:r>
      <w:r w:rsidR="00516A2D" w:rsidRPr="003724F6">
        <w:rPr>
          <w:bCs/>
          <w:lang w:val="en-GB"/>
        </w:rPr>
        <w:t>Dev</w:t>
      </w:r>
      <w:proofErr w:type="spellEnd"/>
      <w:r w:rsidR="00170727">
        <w:rPr>
          <w:bCs/>
          <w:lang w:val="en-GB"/>
        </w:rPr>
        <w:t xml:space="preserve"> Programme of the </w:t>
      </w:r>
      <w:r w:rsidR="00516A2D" w:rsidRPr="003724F6">
        <w:rPr>
          <w:bCs/>
          <w:lang w:val="en-GB"/>
        </w:rPr>
        <w:t xml:space="preserve">World </w:t>
      </w:r>
      <w:r w:rsidR="009116BD" w:rsidRPr="003724F6">
        <w:rPr>
          <w:bCs/>
          <w:lang w:val="en-GB"/>
        </w:rPr>
        <w:t>Bank</w:t>
      </w:r>
      <w:r w:rsidR="00516A2D" w:rsidRPr="003724F6">
        <w:rPr>
          <w:lang w:val="en-GB"/>
        </w:rPr>
        <w:t xml:space="preserve">. </w:t>
      </w:r>
      <w:r w:rsidR="00170727">
        <w:rPr>
          <w:lang w:val="en-GB"/>
        </w:rPr>
        <w:t xml:space="preserve">The coordination of </w:t>
      </w:r>
      <w:proofErr w:type="spellStart"/>
      <w:r w:rsidR="00170727">
        <w:rPr>
          <w:lang w:val="en-GB"/>
        </w:rPr>
        <w:t>ECAbit</w:t>
      </w:r>
      <w:proofErr w:type="spellEnd"/>
      <w:r w:rsidR="00170727">
        <w:rPr>
          <w:lang w:val="en-GB"/>
        </w:rPr>
        <w:t xml:space="preserve"> has involved consulting and training of the network members on internationalisation and business development projects (e.g. the creation of M</w:t>
      </w:r>
      <w:r w:rsidR="009116BD" w:rsidRPr="003724F6">
        <w:rPr>
          <w:bCs/>
          <w:lang w:val="en-GB"/>
        </w:rPr>
        <w:t>obile Broadband Application Labs in Moldova and Azerbaijan</w:t>
      </w:r>
      <w:r w:rsidR="00170727">
        <w:rPr>
          <w:bCs/>
          <w:lang w:val="en-GB"/>
        </w:rPr>
        <w:t>, the internationalisation of Bulgarian and Turkish companies, etc.).</w:t>
      </w:r>
      <w:r w:rsidR="009116BD" w:rsidRPr="003724F6">
        <w:rPr>
          <w:lang w:val="en-GB"/>
        </w:rPr>
        <w:t xml:space="preserve"> </w:t>
      </w:r>
    </w:p>
    <w:p w:rsidR="009116BD" w:rsidRPr="003724F6" w:rsidRDefault="00170727" w:rsidP="00516A2D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Most recently, </w:t>
      </w:r>
      <w:r w:rsidR="009116BD" w:rsidRPr="003724F6">
        <w:rPr>
          <w:lang w:val="en-GB"/>
        </w:rPr>
        <w:t xml:space="preserve">ARC </w:t>
      </w:r>
      <w:r>
        <w:rPr>
          <w:lang w:val="en-GB"/>
        </w:rPr>
        <w:t xml:space="preserve">Consulting / ARC </w:t>
      </w:r>
      <w:r w:rsidR="009116BD" w:rsidRPr="003724F6">
        <w:rPr>
          <w:lang w:val="en-GB"/>
        </w:rPr>
        <w:t>Fund introduced a unique methodology for assessment of broadband roll out and mapping of broadband supply networks</w:t>
      </w:r>
      <w:r>
        <w:rPr>
          <w:lang w:val="en-GB"/>
        </w:rPr>
        <w:t xml:space="preserve"> in the country</w:t>
      </w:r>
      <w:r w:rsidR="009116BD" w:rsidRPr="003724F6">
        <w:rPr>
          <w:lang w:val="en-GB"/>
        </w:rPr>
        <w:t xml:space="preserve">. </w:t>
      </w:r>
      <w:r>
        <w:rPr>
          <w:lang w:val="en-GB"/>
        </w:rPr>
        <w:t xml:space="preserve">The results have been used by the </w:t>
      </w:r>
      <w:r w:rsidR="009116BD" w:rsidRPr="00170727">
        <w:rPr>
          <w:bCs/>
          <w:lang w:val="en-GB"/>
        </w:rPr>
        <w:t>Bulgarian Ministry of Transport</w:t>
      </w:r>
      <w:r>
        <w:rPr>
          <w:bCs/>
          <w:lang w:val="en-GB"/>
        </w:rPr>
        <w:t xml:space="preserve">, Information Technologies and Communications </w:t>
      </w:r>
      <w:r w:rsidR="009116BD" w:rsidRPr="00170727">
        <w:rPr>
          <w:bCs/>
          <w:lang w:val="en-GB"/>
        </w:rPr>
        <w:t xml:space="preserve">in its </w:t>
      </w:r>
      <w:r>
        <w:rPr>
          <w:bCs/>
          <w:lang w:val="en-GB"/>
        </w:rPr>
        <w:t xml:space="preserve">EUR </w:t>
      </w:r>
      <w:r w:rsidR="009116BD" w:rsidRPr="00170727">
        <w:rPr>
          <w:bCs/>
          <w:lang w:val="en-GB"/>
        </w:rPr>
        <w:t>20M-project on building broadband infrastructure</w:t>
      </w:r>
      <w:r w:rsidR="008A31E9">
        <w:rPr>
          <w:bCs/>
          <w:lang w:val="en-GB"/>
        </w:rPr>
        <w:t xml:space="preserve"> in rural areas of this country</w:t>
      </w:r>
      <w:r w:rsidR="009116BD" w:rsidRPr="003724F6">
        <w:rPr>
          <w:lang w:val="en-GB"/>
        </w:rPr>
        <w:t>, funded by European funds</w:t>
      </w:r>
      <w:r w:rsidR="008A31E9">
        <w:rPr>
          <w:lang w:val="en-GB"/>
        </w:rPr>
        <w:t>.</w:t>
      </w:r>
    </w:p>
    <w:p w:rsidR="00A8511C" w:rsidRPr="003724F6" w:rsidRDefault="00A8511C">
      <w:pPr>
        <w:rPr>
          <w:lang w:val="en-GB"/>
        </w:rPr>
      </w:pPr>
    </w:p>
    <w:sectPr w:rsidR="00A8511C" w:rsidRPr="003724F6" w:rsidSect="008D61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2D" w:rsidRDefault="007B452D" w:rsidP="00A8511C">
      <w:pPr>
        <w:spacing w:after="0" w:line="240" w:lineRule="auto"/>
      </w:pPr>
      <w:r>
        <w:separator/>
      </w:r>
    </w:p>
  </w:endnote>
  <w:endnote w:type="continuationSeparator" w:id="0">
    <w:p w:rsidR="007B452D" w:rsidRDefault="007B452D" w:rsidP="00A8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2D" w:rsidRDefault="007B452D" w:rsidP="00A8511C">
      <w:pPr>
        <w:spacing w:after="0" w:line="240" w:lineRule="auto"/>
      </w:pPr>
      <w:r>
        <w:separator/>
      </w:r>
    </w:p>
  </w:footnote>
  <w:footnote w:type="continuationSeparator" w:id="0">
    <w:p w:rsidR="007B452D" w:rsidRDefault="007B452D" w:rsidP="00A8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3B" w:rsidRDefault="00DB533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50"/>
      <w:gridCol w:w="4750"/>
    </w:tblGrid>
    <w:tr w:rsidR="00DB533B" w:rsidTr="00DB533B">
      <w:tc>
        <w:tcPr>
          <w:tcW w:w="4750" w:type="dxa"/>
        </w:tcPr>
        <w:p w:rsidR="00DB533B" w:rsidRDefault="00DB533B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404518" cy="281804"/>
                <wp:effectExtent l="0" t="0" r="571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C_Consulting_logo_dra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98" cy="28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</w:tcPr>
        <w:p w:rsidR="00DB533B" w:rsidRDefault="00DB533B" w:rsidP="00DB533B">
          <w:pPr>
            <w:pStyle w:val="Header"/>
            <w:jc w:val="right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340291" cy="276793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c_fun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5546" cy="277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533B" w:rsidRDefault="00DB53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1F7"/>
    <w:multiLevelType w:val="hybridMultilevel"/>
    <w:tmpl w:val="A7C6D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4E46"/>
    <w:multiLevelType w:val="hybridMultilevel"/>
    <w:tmpl w:val="120CDD02"/>
    <w:lvl w:ilvl="0" w:tplc="37923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1E047E"/>
    <w:multiLevelType w:val="hybridMultilevel"/>
    <w:tmpl w:val="04581A92"/>
    <w:lvl w:ilvl="0" w:tplc="37923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2122FA"/>
    <w:multiLevelType w:val="hybridMultilevel"/>
    <w:tmpl w:val="345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6089"/>
    <w:rsid w:val="000F54F6"/>
    <w:rsid w:val="00170727"/>
    <w:rsid w:val="00212FCD"/>
    <w:rsid w:val="003724F6"/>
    <w:rsid w:val="003A7E28"/>
    <w:rsid w:val="0044217A"/>
    <w:rsid w:val="004B5ACD"/>
    <w:rsid w:val="004F4D62"/>
    <w:rsid w:val="00516A2D"/>
    <w:rsid w:val="0066530A"/>
    <w:rsid w:val="007B452D"/>
    <w:rsid w:val="008A31E9"/>
    <w:rsid w:val="008D61EA"/>
    <w:rsid w:val="009116BD"/>
    <w:rsid w:val="00A343E2"/>
    <w:rsid w:val="00A8511C"/>
    <w:rsid w:val="00CC3FAE"/>
    <w:rsid w:val="00DB533B"/>
    <w:rsid w:val="00F1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2F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1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8511C"/>
    <w:pPr>
      <w:spacing w:after="0" w:line="240" w:lineRule="auto"/>
      <w:ind w:left="126" w:hanging="126"/>
    </w:pPr>
    <w:rPr>
      <w:rFonts w:ascii="Arial" w:eastAsia="Times New Roman" w:hAnsi="Arial" w:cs="Times New Roman"/>
      <w:sz w:val="16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8511C"/>
    <w:rPr>
      <w:rFonts w:ascii="Arial" w:eastAsia="Times New Roman" w:hAnsi="Arial" w:cs="Times New Roman"/>
      <w:sz w:val="16"/>
      <w:szCs w:val="24"/>
      <w:lang w:val="en-GB"/>
    </w:rPr>
  </w:style>
  <w:style w:type="character" w:styleId="FootnoteReference">
    <w:name w:val="footnote reference"/>
    <w:basedOn w:val="DefaultParagraphFont"/>
    <w:rsid w:val="00A8511C"/>
    <w:rPr>
      <w:rFonts w:ascii="Arial" w:hAnsi="Arial" w:cs="Times New Roman"/>
      <w:color w:val="000000"/>
      <w:sz w:val="22"/>
      <w:vertAlign w:val="superscript"/>
    </w:rPr>
  </w:style>
  <w:style w:type="paragraph" w:styleId="BodyText">
    <w:name w:val="Body Text"/>
    <w:basedOn w:val="Normal"/>
    <w:link w:val="BodyTextChar"/>
    <w:rsid w:val="00A8511C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511C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3B"/>
  </w:style>
  <w:style w:type="paragraph" w:styleId="Footer">
    <w:name w:val="footer"/>
    <w:basedOn w:val="Normal"/>
    <w:link w:val="FooterChar"/>
    <w:uiPriority w:val="99"/>
    <w:unhideWhenUsed/>
    <w:rsid w:val="00DB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3B"/>
  </w:style>
  <w:style w:type="paragraph" w:styleId="BalloonText">
    <w:name w:val="Balloon Text"/>
    <w:basedOn w:val="Normal"/>
    <w:link w:val="BalloonTextChar"/>
    <w:uiPriority w:val="99"/>
    <w:semiHidden/>
    <w:unhideWhenUsed/>
    <w:rsid w:val="00D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2F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1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8511C"/>
    <w:pPr>
      <w:spacing w:after="0" w:line="240" w:lineRule="auto"/>
      <w:ind w:left="126" w:hanging="126"/>
    </w:pPr>
    <w:rPr>
      <w:rFonts w:ascii="Arial" w:eastAsia="Times New Roman" w:hAnsi="Arial" w:cs="Times New Roman"/>
      <w:sz w:val="16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8511C"/>
    <w:rPr>
      <w:rFonts w:ascii="Arial" w:eastAsia="Times New Roman" w:hAnsi="Arial" w:cs="Times New Roman"/>
      <w:sz w:val="16"/>
      <w:szCs w:val="24"/>
      <w:lang w:val="en-GB"/>
    </w:rPr>
  </w:style>
  <w:style w:type="character" w:styleId="FootnoteReference">
    <w:name w:val="footnote reference"/>
    <w:basedOn w:val="DefaultParagraphFont"/>
    <w:rsid w:val="00A8511C"/>
    <w:rPr>
      <w:rFonts w:ascii="Arial" w:hAnsi="Arial" w:cs="Times New Roman"/>
      <w:color w:val="000000"/>
      <w:sz w:val="22"/>
      <w:vertAlign w:val="superscript"/>
    </w:rPr>
  </w:style>
  <w:style w:type="paragraph" w:styleId="BodyText">
    <w:name w:val="Body Text"/>
    <w:basedOn w:val="Normal"/>
    <w:link w:val="BodyTextChar"/>
    <w:rsid w:val="00A8511C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511C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3B"/>
  </w:style>
  <w:style w:type="paragraph" w:styleId="Footer">
    <w:name w:val="footer"/>
    <w:basedOn w:val="Normal"/>
    <w:link w:val="FooterChar"/>
    <w:uiPriority w:val="99"/>
    <w:unhideWhenUsed/>
    <w:rsid w:val="00DB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3B"/>
  </w:style>
  <w:style w:type="paragraph" w:styleId="BalloonText">
    <w:name w:val="Balloon Text"/>
    <w:basedOn w:val="Normal"/>
    <w:link w:val="BalloonTextChar"/>
    <w:uiPriority w:val="99"/>
    <w:semiHidden/>
    <w:unhideWhenUsed/>
    <w:rsid w:val="00D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Nedyu Popivanov</cp:lastModifiedBy>
  <cp:revision>2</cp:revision>
  <dcterms:created xsi:type="dcterms:W3CDTF">2013-06-19T08:15:00Z</dcterms:created>
  <dcterms:modified xsi:type="dcterms:W3CDTF">2013-06-19T08:15:00Z</dcterms:modified>
</cp:coreProperties>
</file>